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C530" w14:textId="07064D5B" w:rsidR="00BE65A7" w:rsidRPr="00C91A4C" w:rsidRDefault="00BE65A7" w:rsidP="00BE65A7">
      <w:pPr>
        <w:pStyle w:val="Heading1"/>
        <w:spacing w:before="31" w:line="341" w:lineRule="exact"/>
        <w:ind w:left="1023"/>
      </w:pPr>
      <w:r w:rsidRPr="00C91A4C">
        <w:t>PLAN AMENDMENT #</w:t>
      </w:r>
      <w:r>
        <w:t>2</w:t>
      </w:r>
    </w:p>
    <w:p w14:paraId="17CF9024" w14:textId="77777777" w:rsidR="00BE65A7" w:rsidRPr="00C91A4C" w:rsidRDefault="00BE65A7" w:rsidP="00BE65A7">
      <w:pPr>
        <w:spacing w:line="341" w:lineRule="exact"/>
        <w:ind w:left="1021" w:right="1200"/>
        <w:jc w:val="center"/>
        <w:rPr>
          <w:b/>
          <w:sz w:val="28"/>
          <w:szCs w:val="28"/>
        </w:rPr>
      </w:pPr>
      <w:r w:rsidRPr="00C91A4C">
        <w:rPr>
          <w:b/>
          <w:sz w:val="28"/>
          <w:szCs w:val="28"/>
        </w:rPr>
        <w:t>for</w:t>
      </w:r>
    </w:p>
    <w:p w14:paraId="10D9766B" w14:textId="7F1E058A" w:rsidR="00BE65A7" w:rsidRPr="00C91A4C" w:rsidRDefault="00BE65A7" w:rsidP="00BE65A7">
      <w:pPr>
        <w:spacing w:before="1"/>
        <w:ind w:right="-10"/>
        <w:jc w:val="center"/>
        <w:rPr>
          <w:b/>
          <w:sz w:val="28"/>
          <w:szCs w:val="28"/>
        </w:rPr>
      </w:pPr>
      <w:r w:rsidRPr="00C91A4C">
        <w:rPr>
          <w:b/>
          <w:sz w:val="28"/>
          <w:szCs w:val="28"/>
        </w:rPr>
        <w:t xml:space="preserve">THE EDCARE GROUP </w:t>
      </w:r>
      <w:r>
        <w:rPr>
          <w:b/>
          <w:sz w:val="28"/>
          <w:szCs w:val="28"/>
        </w:rPr>
        <w:t>AMERITAS DENTAL PLAN</w:t>
      </w:r>
    </w:p>
    <w:p w14:paraId="01A0A956" w14:textId="77777777" w:rsidR="00BE65A7" w:rsidRPr="00C91A4C" w:rsidRDefault="00BE65A7" w:rsidP="00BE65A7">
      <w:pPr>
        <w:pStyle w:val="BodyText"/>
        <w:spacing w:before="10"/>
        <w:rPr>
          <w:b/>
          <w:sz w:val="24"/>
          <w:szCs w:val="24"/>
        </w:rPr>
      </w:pPr>
    </w:p>
    <w:p w14:paraId="0B8D0024" w14:textId="3DC78C26" w:rsidR="00BE65A7" w:rsidRPr="009419C4" w:rsidRDefault="00BE65A7" w:rsidP="00BE65A7">
      <w:pPr>
        <w:spacing w:line="242" w:lineRule="auto"/>
        <w:ind w:left="219" w:right="-10"/>
        <w:jc w:val="both"/>
        <w:rPr>
          <w:sz w:val="24"/>
          <w:szCs w:val="24"/>
        </w:rPr>
      </w:pPr>
      <w:r w:rsidRPr="009419C4">
        <w:rPr>
          <w:sz w:val="24"/>
          <w:szCs w:val="24"/>
        </w:rPr>
        <w:t>Effective October 1, 202</w:t>
      </w:r>
      <w:r>
        <w:rPr>
          <w:sz w:val="24"/>
          <w:szCs w:val="24"/>
        </w:rPr>
        <w:t>2</w:t>
      </w:r>
      <w:r w:rsidRPr="009419C4">
        <w:rPr>
          <w:sz w:val="24"/>
          <w:szCs w:val="24"/>
        </w:rPr>
        <w:t xml:space="preserve">, The </w:t>
      </w:r>
      <w:proofErr w:type="spellStart"/>
      <w:r w:rsidRPr="009419C4">
        <w:rPr>
          <w:sz w:val="24"/>
          <w:szCs w:val="24"/>
        </w:rPr>
        <w:t>EdCare</w:t>
      </w:r>
      <w:proofErr w:type="spellEnd"/>
      <w:r w:rsidRPr="009419C4">
        <w:rPr>
          <w:sz w:val="24"/>
          <w:szCs w:val="24"/>
        </w:rPr>
        <w:t xml:space="preserve"> Group hereby amends the </w:t>
      </w:r>
      <w:proofErr w:type="spellStart"/>
      <w:r w:rsidRPr="009419C4">
        <w:rPr>
          <w:sz w:val="24"/>
          <w:szCs w:val="24"/>
        </w:rPr>
        <w:t>Ameritas</w:t>
      </w:r>
      <w:proofErr w:type="spellEnd"/>
      <w:r w:rsidRPr="009419C4">
        <w:rPr>
          <w:sz w:val="24"/>
          <w:szCs w:val="24"/>
        </w:rPr>
        <w:t xml:space="preserve"> Dental Plan as follows:</w:t>
      </w:r>
    </w:p>
    <w:p w14:paraId="3B4B2BE3" w14:textId="2DE2FDD3" w:rsidR="00BE65A7" w:rsidRDefault="00BE65A7" w:rsidP="00BE65A7">
      <w:pPr>
        <w:ind w:left="219" w:right="394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3646"/>
        <w:gridCol w:w="2883"/>
        <w:gridCol w:w="3222"/>
      </w:tblGrid>
      <w:tr w:rsidR="00937DFA" w14:paraId="3BD34AA6" w14:textId="77777777" w:rsidTr="00937DFA">
        <w:tc>
          <w:tcPr>
            <w:tcW w:w="3646" w:type="dxa"/>
          </w:tcPr>
          <w:p w14:paraId="660C33E0" w14:textId="7DF8E30B" w:rsidR="00937DFA" w:rsidRPr="00937DFA" w:rsidRDefault="00937DFA" w:rsidP="00BE65A7">
            <w:pPr>
              <w:ind w:right="39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Diagnostic/Preventive Service</w:t>
            </w:r>
          </w:p>
        </w:tc>
        <w:tc>
          <w:tcPr>
            <w:tcW w:w="2883" w:type="dxa"/>
          </w:tcPr>
          <w:p w14:paraId="7D2EF548" w14:textId="582012BC" w:rsidR="00937DFA" w:rsidRDefault="00672E53" w:rsidP="00BE65A7">
            <w:pPr>
              <w:ind w:right="3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In-Network</w:t>
            </w:r>
          </w:p>
        </w:tc>
        <w:tc>
          <w:tcPr>
            <w:tcW w:w="3222" w:type="dxa"/>
          </w:tcPr>
          <w:p w14:paraId="0D84D45A" w14:textId="60094ADB" w:rsidR="00937DFA" w:rsidRDefault="00672E53" w:rsidP="00BE65A7">
            <w:pPr>
              <w:ind w:right="3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Out-of-Network</w:t>
            </w:r>
          </w:p>
        </w:tc>
      </w:tr>
      <w:tr w:rsidR="00937DFA" w14:paraId="71BBFD51" w14:textId="77777777" w:rsidTr="00937DFA">
        <w:tc>
          <w:tcPr>
            <w:tcW w:w="3646" w:type="dxa"/>
          </w:tcPr>
          <w:p w14:paraId="30F54713" w14:textId="36339029" w:rsidR="00937DFA" w:rsidRDefault="000E05CB" w:rsidP="000E05CB">
            <w:pPr>
              <w:pStyle w:val="ListParagraph"/>
              <w:numPr>
                <w:ilvl w:val="0"/>
                <w:numId w:val="1"/>
              </w:numPr>
              <w:ind w:left="294" w:right="394" w:hanging="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Consultations/Office Visits</w:t>
            </w:r>
            <w:r w:rsidR="006E415A">
              <w:rPr>
                <w:sz w:val="24"/>
                <w:szCs w:val="24"/>
              </w:rPr>
              <w:t xml:space="preserve"> (2 in 12 months)</w:t>
            </w:r>
          </w:p>
          <w:p w14:paraId="33E3A6DC" w14:textId="55A4747B" w:rsidR="006E415A" w:rsidRPr="00937DFA" w:rsidRDefault="006E415A" w:rsidP="000E05CB">
            <w:pPr>
              <w:pStyle w:val="ListParagraph"/>
              <w:numPr>
                <w:ilvl w:val="0"/>
                <w:numId w:val="1"/>
              </w:numPr>
              <w:ind w:left="294" w:right="394" w:hanging="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Examinations (2 in 12 months)</w:t>
            </w:r>
          </w:p>
        </w:tc>
        <w:tc>
          <w:tcPr>
            <w:tcW w:w="2883" w:type="dxa"/>
          </w:tcPr>
          <w:p w14:paraId="5EBA0474" w14:textId="77777777" w:rsidR="00672E53" w:rsidRPr="00672E53" w:rsidRDefault="00672E53" w:rsidP="00672E53">
            <w:pPr>
              <w:ind w:right="394"/>
              <w:jc w:val="both"/>
              <w:rPr>
                <w:sz w:val="24"/>
                <w:szCs w:val="24"/>
              </w:rPr>
            </w:pPr>
            <w:r w:rsidRPr="00672E53">
              <w:rPr>
                <w:sz w:val="24"/>
                <w:szCs w:val="24"/>
              </w:rPr>
              <w:t>Coverage</w:t>
            </w:r>
          </w:p>
          <w:p w14:paraId="2149C76F" w14:textId="77777777" w:rsidR="00672E53" w:rsidRPr="00672E53" w:rsidRDefault="00672E53" w:rsidP="00672E53">
            <w:pPr>
              <w:ind w:right="394"/>
              <w:jc w:val="both"/>
              <w:rPr>
                <w:sz w:val="24"/>
                <w:szCs w:val="24"/>
              </w:rPr>
            </w:pPr>
            <w:r w:rsidRPr="00672E53">
              <w:rPr>
                <w:sz w:val="24"/>
                <w:szCs w:val="24"/>
              </w:rPr>
              <w:t>Incentive level</w:t>
            </w:r>
          </w:p>
          <w:p w14:paraId="3F85169F" w14:textId="2674B961" w:rsidR="00937DFA" w:rsidRDefault="00672E53" w:rsidP="00672E53">
            <w:pPr>
              <w:ind w:right="394"/>
              <w:jc w:val="both"/>
              <w:rPr>
                <w:sz w:val="24"/>
                <w:szCs w:val="24"/>
              </w:rPr>
            </w:pPr>
            <w:r w:rsidRPr="00672E53">
              <w:rPr>
                <w:sz w:val="24"/>
                <w:szCs w:val="24"/>
              </w:rPr>
              <w:t>70%, 80%, 90%, 100%</w:t>
            </w:r>
          </w:p>
        </w:tc>
        <w:tc>
          <w:tcPr>
            <w:tcW w:w="3222" w:type="dxa"/>
          </w:tcPr>
          <w:p w14:paraId="64AA67C8" w14:textId="77777777" w:rsidR="00672E53" w:rsidRPr="00672E53" w:rsidRDefault="00672E53" w:rsidP="00672E53">
            <w:pPr>
              <w:ind w:right="394"/>
              <w:jc w:val="both"/>
              <w:rPr>
                <w:sz w:val="24"/>
                <w:szCs w:val="24"/>
              </w:rPr>
            </w:pPr>
            <w:r w:rsidRPr="00672E53">
              <w:rPr>
                <w:sz w:val="24"/>
                <w:szCs w:val="24"/>
              </w:rPr>
              <w:t>Coverage</w:t>
            </w:r>
          </w:p>
          <w:p w14:paraId="785C61E8" w14:textId="77777777" w:rsidR="00672E53" w:rsidRPr="00672E53" w:rsidRDefault="00672E53" w:rsidP="00672E53">
            <w:pPr>
              <w:ind w:right="394"/>
              <w:jc w:val="both"/>
              <w:rPr>
                <w:sz w:val="24"/>
                <w:szCs w:val="24"/>
              </w:rPr>
            </w:pPr>
            <w:r w:rsidRPr="00672E53">
              <w:rPr>
                <w:sz w:val="24"/>
                <w:szCs w:val="24"/>
              </w:rPr>
              <w:t>Incentive level</w:t>
            </w:r>
          </w:p>
          <w:p w14:paraId="0B2503F6" w14:textId="77777777" w:rsidR="00672E53" w:rsidRPr="00672E53" w:rsidRDefault="00672E53" w:rsidP="00672E53">
            <w:pPr>
              <w:ind w:right="394"/>
              <w:jc w:val="both"/>
              <w:rPr>
                <w:sz w:val="24"/>
                <w:szCs w:val="24"/>
              </w:rPr>
            </w:pPr>
            <w:r w:rsidRPr="00672E53">
              <w:rPr>
                <w:sz w:val="24"/>
                <w:szCs w:val="24"/>
              </w:rPr>
              <w:t>70%, 80%, 90%, 100%</w:t>
            </w:r>
          </w:p>
          <w:p w14:paraId="6FC19D49" w14:textId="26159F74" w:rsidR="00937DFA" w:rsidRDefault="00672E53" w:rsidP="00672E53">
            <w:pPr>
              <w:ind w:right="394"/>
              <w:jc w:val="both"/>
              <w:rPr>
                <w:sz w:val="24"/>
                <w:szCs w:val="24"/>
              </w:rPr>
            </w:pPr>
            <w:r w:rsidRPr="00672E53">
              <w:rPr>
                <w:sz w:val="24"/>
                <w:szCs w:val="24"/>
              </w:rPr>
              <w:t>(Fees based on MAC*)</w:t>
            </w:r>
          </w:p>
        </w:tc>
      </w:tr>
    </w:tbl>
    <w:p w14:paraId="78305C8B" w14:textId="725B38FA" w:rsidR="003D2088" w:rsidRDefault="003D2088" w:rsidP="00BE65A7">
      <w:pPr>
        <w:ind w:left="219" w:right="394"/>
        <w:jc w:val="both"/>
        <w:rPr>
          <w:sz w:val="24"/>
          <w:szCs w:val="24"/>
        </w:rPr>
      </w:pPr>
    </w:p>
    <w:p w14:paraId="30A5D205" w14:textId="77777777" w:rsidR="003D2088" w:rsidRPr="009419C4" w:rsidRDefault="003D2088" w:rsidP="00BE65A7">
      <w:pPr>
        <w:ind w:left="219" w:right="394"/>
        <w:jc w:val="both"/>
        <w:rPr>
          <w:sz w:val="24"/>
          <w:szCs w:val="24"/>
        </w:rPr>
      </w:pPr>
    </w:p>
    <w:p w14:paraId="4DDF7B65" w14:textId="02BE94B6" w:rsidR="00BE65A7" w:rsidRDefault="002207D6" w:rsidP="002207D6">
      <w:pPr>
        <w:ind w:left="219" w:right="39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Dental Limitations and </w:t>
      </w:r>
      <w:r w:rsidR="0025613F">
        <w:rPr>
          <w:b/>
          <w:bCs/>
          <w:u w:val="single"/>
        </w:rPr>
        <w:t>Exclusions</w:t>
      </w:r>
    </w:p>
    <w:p w14:paraId="6D336699" w14:textId="67F3DE43" w:rsidR="002207D6" w:rsidRDefault="002207D6" w:rsidP="002207D6">
      <w:pPr>
        <w:ind w:left="219" w:right="394"/>
        <w:rPr>
          <w:b/>
          <w:bCs/>
          <w:u w:val="single"/>
        </w:rPr>
      </w:pPr>
    </w:p>
    <w:p w14:paraId="11A292B9" w14:textId="29B07E58" w:rsidR="002207D6" w:rsidRPr="0025613F" w:rsidRDefault="0025613F" w:rsidP="002207D6">
      <w:pPr>
        <w:ind w:left="219" w:right="394"/>
        <w:rPr>
          <w:i/>
          <w:iCs/>
        </w:rPr>
      </w:pPr>
      <w:r>
        <w:rPr>
          <w:i/>
          <w:iCs/>
        </w:rPr>
        <w:t xml:space="preserve">DENTAL LIMITATIONS AND EXCLUSIONS, at page 6, are amended to unbundle </w:t>
      </w:r>
      <w:r w:rsidR="00582E1C">
        <w:rPr>
          <w:i/>
          <w:iCs/>
        </w:rPr>
        <w:t>routine examinations and evaluations from professional consultations and office visits, as follows:</w:t>
      </w:r>
    </w:p>
    <w:p w14:paraId="48242887" w14:textId="77777777" w:rsidR="002207D6" w:rsidRPr="00303CD5" w:rsidRDefault="002207D6" w:rsidP="002207D6">
      <w:pPr>
        <w:ind w:left="219" w:right="394"/>
      </w:pPr>
    </w:p>
    <w:p w14:paraId="00FD88F9" w14:textId="77BB5C7C" w:rsidR="00BE65A7" w:rsidRDefault="008A2F17" w:rsidP="008A2F17">
      <w:pPr>
        <w:ind w:left="219" w:right="394"/>
        <w:jc w:val="both"/>
      </w:pPr>
      <w:r w:rsidRPr="005770F6">
        <w:rPr>
          <w:b/>
          <w:bCs/>
        </w:rPr>
        <w:t>Evaluations/Examinations</w:t>
      </w:r>
      <w:r w:rsidR="005770F6">
        <w:t xml:space="preserve"> - </w:t>
      </w:r>
      <w:r>
        <w:t xml:space="preserve">Limited to one comprehensive evaluation per dentist/dental office per lifetime, unless there are significant changes in the medical or dental status, or three or more years has elapsed since their last dental treatment. Periodic </w:t>
      </w:r>
      <w:r w:rsidR="00CC4789">
        <w:t xml:space="preserve">routine </w:t>
      </w:r>
      <w:r>
        <w:t>evaluations</w:t>
      </w:r>
      <w:r w:rsidR="008A3702">
        <w:t>/examinations</w:t>
      </w:r>
      <w:r>
        <w:t xml:space="preserve"> are limited to two every 12 months, which include all </w:t>
      </w:r>
      <w:r w:rsidR="00CC4789">
        <w:t xml:space="preserve">routine </w:t>
      </w:r>
      <w:r>
        <w:t>evaluations</w:t>
      </w:r>
      <w:r w:rsidR="008A3702">
        <w:t xml:space="preserve"> and</w:t>
      </w:r>
      <w:r w:rsidR="00CC4789">
        <w:t xml:space="preserve"> examinations, </w:t>
      </w:r>
      <w:r>
        <w:t>in the frequency limits.</w:t>
      </w:r>
      <w:r w:rsidR="00CC4789">
        <w:t xml:space="preserve"> Periodic </w:t>
      </w:r>
      <w:r w:rsidR="008A3702">
        <w:t>professional</w:t>
      </w:r>
      <w:r w:rsidR="00CC4789">
        <w:t xml:space="preserve"> consultations and office visits are</w:t>
      </w:r>
      <w:r w:rsidR="008A3702">
        <w:t xml:space="preserve"> unbundled from routine examinations,</w:t>
      </w:r>
      <w:r w:rsidR="00CC4789">
        <w:t xml:space="preserve"> </w:t>
      </w:r>
      <w:r w:rsidR="00B252E6">
        <w:t xml:space="preserve">and are </w:t>
      </w:r>
      <w:r w:rsidR="00CC4789">
        <w:t xml:space="preserve">also limited to two every 12 </w:t>
      </w:r>
      <w:proofErr w:type="gramStart"/>
      <w:r w:rsidR="00CC4789">
        <w:t>month</w:t>
      </w:r>
      <w:proofErr w:type="gramEnd"/>
      <w:r w:rsidR="00CC4789">
        <w:t>.</w:t>
      </w:r>
    </w:p>
    <w:p w14:paraId="66B04341" w14:textId="1311023D" w:rsidR="008A2F17" w:rsidRDefault="008A2F17" w:rsidP="008A2F17">
      <w:pPr>
        <w:ind w:left="219" w:right="394"/>
        <w:jc w:val="both"/>
      </w:pPr>
    </w:p>
    <w:p w14:paraId="0E8F87AC" w14:textId="77777777" w:rsidR="008A2F17" w:rsidRDefault="008A2F17" w:rsidP="008A2F17">
      <w:pPr>
        <w:ind w:left="219" w:right="394"/>
        <w:jc w:val="both"/>
        <w:rPr>
          <w:i/>
          <w:iCs/>
          <w:u w:val="single"/>
        </w:rPr>
      </w:pPr>
    </w:p>
    <w:p w14:paraId="197C6C03" w14:textId="77777777" w:rsidR="00BE65A7" w:rsidRPr="00303CD5" w:rsidRDefault="00BE65A7" w:rsidP="00BE65A7">
      <w:pPr>
        <w:ind w:left="219" w:right="394"/>
        <w:jc w:val="both"/>
        <w:rPr>
          <w:i/>
          <w:iCs/>
          <w:u w:val="single"/>
        </w:rPr>
      </w:pPr>
      <w:r w:rsidRPr="00303CD5">
        <w:rPr>
          <w:i/>
          <w:iCs/>
          <w:u w:val="single"/>
        </w:rPr>
        <w:t>Effective Date</w:t>
      </w:r>
    </w:p>
    <w:p w14:paraId="5548615E" w14:textId="3F307515" w:rsidR="00BE65A7" w:rsidRPr="00303CD5" w:rsidRDefault="00BE65A7" w:rsidP="00BE65A7">
      <w:pPr>
        <w:ind w:left="219" w:right="394"/>
        <w:jc w:val="both"/>
      </w:pPr>
      <w:r w:rsidRPr="00303CD5">
        <w:t>This Notice is effective October 1, 202</w:t>
      </w:r>
      <w:r w:rsidR="00B252E6">
        <w:t>2</w:t>
      </w:r>
      <w:r w:rsidRPr="00303CD5">
        <w:t>.</w:t>
      </w:r>
    </w:p>
    <w:p w14:paraId="54CC33EB" w14:textId="77777777" w:rsidR="00BE65A7" w:rsidRDefault="00BE65A7" w:rsidP="00BE65A7">
      <w:pPr>
        <w:pStyle w:val="Heading4"/>
        <w:spacing w:line="240" w:lineRule="auto"/>
        <w:ind w:left="0" w:firstLine="219"/>
        <w:jc w:val="both"/>
      </w:pPr>
      <w:r>
        <w:t>*********************************************************************************************</w:t>
      </w:r>
    </w:p>
    <w:p w14:paraId="38F09B95" w14:textId="2B5861F3" w:rsidR="00BE65A7" w:rsidRPr="00DC5DA5" w:rsidRDefault="00BE65A7" w:rsidP="00BE65A7">
      <w:pPr>
        <w:ind w:left="219" w:right="394"/>
        <w:jc w:val="both"/>
        <w:rPr>
          <w:b/>
          <w:bCs/>
          <w:sz w:val="24"/>
          <w:szCs w:val="24"/>
        </w:rPr>
      </w:pPr>
      <w:r w:rsidRPr="00DC5DA5">
        <w:rPr>
          <w:b/>
          <w:bCs/>
          <w:sz w:val="24"/>
          <w:szCs w:val="24"/>
        </w:rPr>
        <w:t xml:space="preserve">All other sections of the </w:t>
      </w:r>
      <w:proofErr w:type="spellStart"/>
      <w:r w:rsidRPr="00DC5DA5">
        <w:rPr>
          <w:b/>
          <w:bCs/>
          <w:sz w:val="24"/>
          <w:szCs w:val="24"/>
        </w:rPr>
        <w:t>Ameritas</w:t>
      </w:r>
      <w:proofErr w:type="spellEnd"/>
      <w:r w:rsidRPr="00DC5DA5">
        <w:rPr>
          <w:b/>
          <w:bCs/>
          <w:sz w:val="24"/>
          <w:szCs w:val="24"/>
        </w:rPr>
        <w:t xml:space="preserve"> Dental Plan remain unchanged.</w:t>
      </w:r>
    </w:p>
    <w:p w14:paraId="018D7B79" w14:textId="65347459" w:rsidR="00BE65A7" w:rsidRDefault="00BE65A7" w:rsidP="00BE65A7">
      <w:pPr>
        <w:ind w:left="219" w:right="394"/>
        <w:jc w:val="both"/>
        <w:rPr>
          <w:sz w:val="24"/>
          <w:szCs w:val="24"/>
        </w:rPr>
      </w:pPr>
    </w:p>
    <w:p w14:paraId="6FCA9A36" w14:textId="0530E4D0" w:rsidR="00DE16F1" w:rsidRPr="00832006" w:rsidRDefault="00DE16F1" w:rsidP="00DE16F1">
      <w:pPr>
        <w:ind w:left="219" w:right="394"/>
        <w:jc w:val="both"/>
        <w:rPr>
          <w:sz w:val="24"/>
          <w:szCs w:val="24"/>
        </w:rPr>
      </w:pPr>
      <w:r w:rsidRPr="00832006">
        <w:rPr>
          <w:b/>
          <w:sz w:val="24"/>
          <w:szCs w:val="24"/>
        </w:rPr>
        <w:t xml:space="preserve">NOTICE TO PLAN PARTICIPANT: </w:t>
      </w:r>
      <w:r w:rsidRPr="00832006">
        <w:rPr>
          <w:sz w:val="24"/>
          <w:szCs w:val="24"/>
        </w:rPr>
        <w:t xml:space="preserve">REVIEW THIS AMENDMENT CAREFULLY AND THEN INSERT IT INTO YOUR BENEFIT BOOKLET. THIS AMENDMENT REFLECTS CHANGE(S) TO YOUR </w:t>
      </w:r>
      <w:r>
        <w:rPr>
          <w:sz w:val="24"/>
          <w:szCs w:val="24"/>
        </w:rPr>
        <w:t xml:space="preserve">DENTAL </w:t>
      </w:r>
      <w:r w:rsidRPr="00832006">
        <w:rPr>
          <w:sz w:val="24"/>
          <w:szCs w:val="24"/>
        </w:rPr>
        <w:t xml:space="preserve">SUMMARY PLAN DESCRIPTION AND MAY INCLUDE MATERIAL MODIFICATIONS IN </w:t>
      </w:r>
      <w:r>
        <w:rPr>
          <w:sz w:val="24"/>
          <w:szCs w:val="24"/>
        </w:rPr>
        <w:t xml:space="preserve">DENTAL </w:t>
      </w:r>
      <w:r w:rsidRPr="00832006">
        <w:rPr>
          <w:sz w:val="24"/>
          <w:szCs w:val="24"/>
        </w:rPr>
        <w:t>PLAN</w:t>
      </w:r>
      <w:r w:rsidRPr="00832006">
        <w:rPr>
          <w:spacing w:val="-7"/>
          <w:sz w:val="24"/>
          <w:szCs w:val="24"/>
        </w:rPr>
        <w:t xml:space="preserve"> </w:t>
      </w:r>
      <w:r w:rsidRPr="00832006">
        <w:rPr>
          <w:sz w:val="24"/>
          <w:szCs w:val="24"/>
        </w:rPr>
        <w:t>BENEFITS.</w:t>
      </w:r>
    </w:p>
    <w:p w14:paraId="28605D77" w14:textId="13EE5D9F" w:rsidR="00DE16F1" w:rsidRDefault="00DE16F1" w:rsidP="00BE65A7">
      <w:pPr>
        <w:ind w:left="219" w:right="394"/>
        <w:jc w:val="both"/>
        <w:rPr>
          <w:sz w:val="24"/>
          <w:szCs w:val="24"/>
        </w:rPr>
      </w:pPr>
    </w:p>
    <w:p w14:paraId="59F0FB4B" w14:textId="77777777" w:rsidR="00FB716E" w:rsidRDefault="00FB716E"/>
    <w:sectPr w:rsidR="00FB7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40" w:bottom="920" w:left="12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82AF" w14:textId="77777777" w:rsidR="005F0078" w:rsidRDefault="006B241C">
      <w:r>
        <w:separator/>
      </w:r>
    </w:p>
  </w:endnote>
  <w:endnote w:type="continuationSeparator" w:id="0">
    <w:p w14:paraId="4AC4ACDD" w14:textId="77777777" w:rsidR="005F0078" w:rsidRDefault="006B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E44F" w14:textId="77777777" w:rsidR="0041709F" w:rsidRDefault="00417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BE88" w14:textId="77777777" w:rsidR="00573709" w:rsidRDefault="00DE16F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07F96C" wp14:editId="37F89035">
              <wp:simplePos x="0" y="0"/>
              <wp:positionH relativeFrom="page">
                <wp:posOffset>6219190</wp:posOffset>
              </wp:positionH>
              <wp:positionV relativeFrom="page">
                <wp:posOffset>9455785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B7AA0" w14:textId="77777777" w:rsidR="00573709" w:rsidRDefault="00DE16F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7F9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7pt;margin-top:744.55pt;width:51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" filled="f" stroked="f">
              <v:textbox inset="0,0,0,0">
                <w:txbxContent>
                  <w:p w14:paraId="14EB7AA0" w14:textId="77777777" w:rsidR="00573709" w:rsidRDefault="00DE16F1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9EFB" w14:textId="77777777" w:rsidR="0041709F" w:rsidRDefault="00417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2023" w14:textId="77777777" w:rsidR="005F0078" w:rsidRDefault="006B241C">
      <w:r>
        <w:separator/>
      </w:r>
    </w:p>
  </w:footnote>
  <w:footnote w:type="continuationSeparator" w:id="0">
    <w:p w14:paraId="63374BB8" w14:textId="77777777" w:rsidR="005F0078" w:rsidRDefault="006B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8B0D" w14:textId="77777777" w:rsidR="0041709F" w:rsidRDefault="00417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D8B7" w14:textId="77777777" w:rsidR="0041709F" w:rsidRDefault="00417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1EBE" w14:textId="77777777" w:rsidR="0041709F" w:rsidRDefault="00417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870E1"/>
    <w:multiLevelType w:val="hybridMultilevel"/>
    <w:tmpl w:val="648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4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A7"/>
    <w:rsid w:val="000876BC"/>
    <w:rsid w:val="000E05CB"/>
    <w:rsid w:val="002207D6"/>
    <w:rsid w:val="0025613F"/>
    <w:rsid w:val="00286C00"/>
    <w:rsid w:val="003D2088"/>
    <w:rsid w:val="003D4E6C"/>
    <w:rsid w:val="0041709F"/>
    <w:rsid w:val="005770F6"/>
    <w:rsid w:val="00582E1C"/>
    <w:rsid w:val="005F0078"/>
    <w:rsid w:val="00672E53"/>
    <w:rsid w:val="006B241C"/>
    <w:rsid w:val="006E415A"/>
    <w:rsid w:val="008A2F17"/>
    <w:rsid w:val="008A3702"/>
    <w:rsid w:val="00937DFA"/>
    <w:rsid w:val="00945B73"/>
    <w:rsid w:val="00A600BB"/>
    <w:rsid w:val="00A74DA1"/>
    <w:rsid w:val="00B252E6"/>
    <w:rsid w:val="00BE65A7"/>
    <w:rsid w:val="00CC4789"/>
    <w:rsid w:val="00DE16F1"/>
    <w:rsid w:val="00F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9D5D"/>
  <w15:chartTrackingRefBased/>
  <w15:docId w15:val="{254DD246-8A85-4D45-87F6-457B2DE9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BE65A7"/>
    <w:pPr>
      <w:ind w:left="1020" w:right="1200"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E65A7"/>
    <w:pPr>
      <w:spacing w:line="228" w:lineRule="exact"/>
      <w:ind w:left="220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5A7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E65A7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E65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65A7"/>
    <w:rPr>
      <w:rFonts w:ascii="Times New Roman" w:eastAsia="Times New Roman" w:hAnsi="Times New Roman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93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9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7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9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Ward</dc:creator>
  <cp:keywords/>
  <dc:description/>
  <cp:lastModifiedBy>Gina Cuttone</cp:lastModifiedBy>
  <cp:revision>2</cp:revision>
  <dcterms:created xsi:type="dcterms:W3CDTF">2022-11-03T04:36:00Z</dcterms:created>
  <dcterms:modified xsi:type="dcterms:W3CDTF">2022-11-03T04:36:00Z</dcterms:modified>
</cp:coreProperties>
</file>